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5D7"/>
  <w:body>
    <w:p w14:paraId="46EBFE07" w14:textId="0C6FD391" w:rsidR="00006DB7" w:rsidRDefault="00601A09" w:rsidP="00001B7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142676" wp14:editId="69E9A455">
            <wp:extent cx="4764405" cy="1600200"/>
            <wp:effectExtent l="0" t="0" r="0" b="0"/>
            <wp:docPr id="2023179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79025" name="Picture 202317902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47" b="3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39" cy="16002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72F82" w14:textId="77777777" w:rsidR="00006DB7" w:rsidRDefault="00006DB7" w:rsidP="00001B77">
      <w:pPr>
        <w:jc w:val="center"/>
        <w:rPr>
          <w:b/>
          <w:bCs/>
        </w:rPr>
      </w:pPr>
    </w:p>
    <w:p w14:paraId="1AC3843D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WHITE PAPER: THE 2026 CLINICAL SOVEREIGNTY STANDARD</w:t>
      </w:r>
    </w:p>
    <w:p w14:paraId="59B4D932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Redefining the Managed Services Organization (MSO) for the Modern Practitioner</w:t>
      </w:r>
    </w:p>
    <w:p w14:paraId="09FD467B" w14:textId="77777777" w:rsidR="00F40109" w:rsidRPr="00F40109" w:rsidRDefault="00F40109" w:rsidP="00F40109">
      <w:r w:rsidRPr="00F40109">
        <w:pict w14:anchorId="43E2A2D7">
          <v:rect id="_x0000_i1117" style="width:0;height:1.5pt" o:hralign="center" o:hrstd="t" o:hr="t" fillcolor="#a0a0a0" stroked="f"/>
        </w:pict>
      </w:r>
    </w:p>
    <w:p w14:paraId="5485A510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I. THE CRISIS OF THE "GHOST NETWORK"</w:t>
      </w:r>
    </w:p>
    <w:p w14:paraId="261A427D" w14:textId="77777777" w:rsidR="00F40109" w:rsidRPr="00F40109" w:rsidRDefault="00F40109" w:rsidP="00F40109">
      <w:r w:rsidRPr="00F40109">
        <w:t xml:space="preserve">As of 2026, the mental health industry has reached a breaking point. Regulatory bodies are levying unprecedented fines against major insurance payers for failing to meet </w:t>
      </w:r>
      <w:r w:rsidRPr="00F40109">
        <w:rPr>
          <w:b/>
          <w:bCs/>
        </w:rPr>
        <w:t>Network Adequacy</w:t>
      </w:r>
      <w:r w:rsidRPr="00F40109">
        <w:t xml:space="preserve"> mandates. Simultaneously, clinicians are fleeing venture-capital-backed "therapy factories" that prioritize shareholder returns over clinical outcomes.</w:t>
      </w:r>
    </w:p>
    <w:p w14:paraId="5875698F" w14:textId="77777777" w:rsidR="00F40109" w:rsidRPr="00F40109" w:rsidRDefault="00F40109" w:rsidP="00F40109">
      <w:r w:rsidRPr="00F40109">
        <w:t xml:space="preserve">The result is a fractured system where patients cannot find care, and providers cannot sustain their practices. </w:t>
      </w:r>
      <w:r w:rsidRPr="00F40109">
        <w:rPr>
          <w:b/>
          <w:bCs/>
        </w:rPr>
        <w:t>We Are</w:t>
      </w:r>
      <w:r w:rsidRPr="00F40109">
        <w:t xml:space="preserve"> was founded to solve this through a new architecture: </w:t>
      </w:r>
      <w:r w:rsidRPr="00F40109">
        <w:rPr>
          <w:b/>
          <w:bCs/>
        </w:rPr>
        <w:t>The National Integrity Standard.</w:t>
      </w:r>
    </w:p>
    <w:p w14:paraId="2B5F7CF9" w14:textId="77777777" w:rsidR="00F40109" w:rsidRPr="00F40109" w:rsidRDefault="00F40109" w:rsidP="00F40109">
      <w:r w:rsidRPr="00F40109">
        <w:pict w14:anchorId="688DF742">
          <v:rect id="_x0000_i1118" style="width:0;height:1.5pt" o:hralign="center" o:hrstd="t" o:hr="t" fillcolor="#a0a0a0" stroked="f"/>
        </w:pict>
      </w:r>
    </w:p>
    <w:p w14:paraId="094A3720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II. ARCHITECTURAL INTEGRITY: THE "WIZARDRY"</w:t>
      </w:r>
    </w:p>
    <w:p w14:paraId="7F3171DB" w14:textId="77777777" w:rsidR="00F40109" w:rsidRPr="00F40109" w:rsidRDefault="00F40109" w:rsidP="00F40109">
      <w:r w:rsidRPr="00F40109">
        <w:t>The foundation of our collective is built on a proprietary technical stack that ensures the clinician is never a "cog in the machine."</w:t>
      </w:r>
    </w:p>
    <w:p w14:paraId="26E9D758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2.1 The NPI-2 Sandwich</w:t>
      </w:r>
    </w:p>
    <w:p w14:paraId="73F71D50" w14:textId="77777777" w:rsidR="00F40109" w:rsidRPr="00F40109" w:rsidRDefault="00F40109" w:rsidP="00F40109">
      <w:r w:rsidRPr="00F40109">
        <w:t xml:space="preserve">We utilize a unique mapping of the </w:t>
      </w:r>
      <w:r w:rsidRPr="00F40109">
        <w:rPr>
          <w:b/>
          <w:bCs/>
        </w:rPr>
        <w:t>CMS-1500</w:t>
      </w:r>
      <w:r w:rsidRPr="00F40109">
        <w:t xml:space="preserve"> claim form to bridge the gap between independent practice and institutional bargaining power:</w:t>
      </w:r>
    </w:p>
    <w:p w14:paraId="6A2C77CD" w14:textId="77777777" w:rsidR="00F40109" w:rsidRPr="00F40109" w:rsidRDefault="00F40109" w:rsidP="00F40109">
      <w:pPr>
        <w:numPr>
          <w:ilvl w:val="0"/>
          <w:numId w:val="29"/>
        </w:numPr>
      </w:pPr>
      <w:r w:rsidRPr="00F40109">
        <w:rPr>
          <w:b/>
          <w:bCs/>
        </w:rPr>
        <w:t>Box 33 (Billing Provider):</w:t>
      </w:r>
      <w:r w:rsidRPr="00F40109">
        <w:t xml:space="preserve"> Mapped to our Master NPI-2, unlocking premium, hospital-grade reimbursement rates previously unavailable to solo practitioners.</w:t>
      </w:r>
    </w:p>
    <w:p w14:paraId="46FCE97C" w14:textId="77777777" w:rsidR="00F40109" w:rsidRPr="00F40109" w:rsidRDefault="00F40109" w:rsidP="00F40109">
      <w:pPr>
        <w:numPr>
          <w:ilvl w:val="0"/>
          <w:numId w:val="29"/>
        </w:numPr>
      </w:pPr>
      <w:r w:rsidRPr="00F40109">
        <w:rPr>
          <w:b/>
          <w:bCs/>
        </w:rPr>
        <w:t>Box 25 (Federal Tax ID):</w:t>
      </w:r>
      <w:r w:rsidRPr="00F40109">
        <w:t xml:space="preserve"> Mapped to the Clinician’s individual EIN, ensuring the legal and financial "Direct-Flow" of funds.</w:t>
      </w:r>
    </w:p>
    <w:p w14:paraId="6F96171B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lastRenderedPageBreak/>
        <w:t>2.2 Direct-Flow Adjudication</w:t>
      </w:r>
    </w:p>
    <w:p w14:paraId="6C015793" w14:textId="77777777" w:rsidR="00F40109" w:rsidRPr="00F40109" w:rsidRDefault="00F40109" w:rsidP="00F40109">
      <w:r w:rsidRPr="00F40109">
        <w:t xml:space="preserve">Unlike legacy platforms that hold clinician funds in custodial accounts, our </w:t>
      </w:r>
      <w:r w:rsidRPr="00F40109">
        <w:rPr>
          <w:b/>
          <w:bCs/>
        </w:rPr>
        <w:t>835 ERA Trigger</w:t>
      </w:r>
      <w:r w:rsidRPr="00F40109">
        <w:t xml:space="preserve"> ensures that insurance payments move directly from the payer to the clinician’s bank account. </w:t>
      </w:r>
      <w:r w:rsidRPr="00F40109">
        <w:rPr>
          <w:b/>
          <w:bCs/>
        </w:rPr>
        <w:t>We Are</w:t>
      </w:r>
      <w:r w:rsidRPr="00F40109">
        <w:t xml:space="preserve"> only invoices its 6% administrative fee </w:t>
      </w:r>
      <w:r w:rsidRPr="00F40109">
        <w:rPr>
          <w:i/>
          <w:iCs/>
        </w:rPr>
        <w:t>after</w:t>
      </w:r>
      <w:r w:rsidRPr="00F40109">
        <w:t xml:space="preserve"> the clinician has received payment.</w:t>
      </w:r>
    </w:p>
    <w:p w14:paraId="0A898A7B" w14:textId="77777777" w:rsidR="00F40109" w:rsidRPr="00F40109" w:rsidRDefault="00F40109" w:rsidP="00F40109">
      <w:r w:rsidRPr="00F40109">
        <w:pict w14:anchorId="29539810">
          <v:rect id="_x0000_i1119" style="width:0;height:1.5pt" o:hralign="center" o:hrstd="t" o:hr="t" fillcolor="#a0a0a0" stroked="f"/>
        </w:pict>
      </w:r>
    </w:p>
    <w:p w14:paraId="59924FB2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III. LEGAL INTEGRITY: THE SOVEREIGN SHIELD</w:t>
      </w:r>
    </w:p>
    <w:p w14:paraId="5D0856A6" w14:textId="77777777" w:rsidR="00F40109" w:rsidRPr="00F40109" w:rsidRDefault="00F40109" w:rsidP="00F40109">
      <w:r w:rsidRPr="00F40109">
        <w:t xml:space="preserve">Our legal framework is designed for a 50-state footprint, ensuring strict compliance with </w:t>
      </w:r>
      <w:r w:rsidRPr="00F40109">
        <w:rPr>
          <w:b/>
          <w:bCs/>
        </w:rPr>
        <w:t>Corporate Practice of Medicine (CPOM)</w:t>
      </w:r>
      <w:r w:rsidRPr="00F40109">
        <w:t xml:space="preserve"> laws.</w:t>
      </w:r>
    </w:p>
    <w:p w14:paraId="23F1093B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3.1 The Clinical Firewall</w:t>
      </w:r>
    </w:p>
    <w:p w14:paraId="70FBD7A0" w14:textId="77777777" w:rsidR="00F40109" w:rsidRPr="00F40109" w:rsidRDefault="00F40109" w:rsidP="00F40109">
      <w:r w:rsidRPr="00F40109">
        <w:t>We operate within a "Safe Corridor" where the MSO is contractually barred from interfering with:</w:t>
      </w:r>
    </w:p>
    <w:p w14:paraId="088C0200" w14:textId="77777777" w:rsidR="00F40109" w:rsidRPr="00F40109" w:rsidRDefault="00F40109" w:rsidP="00F40109">
      <w:pPr>
        <w:numPr>
          <w:ilvl w:val="0"/>
          <w:numId w:val="30"/>
        </w:numPr>
      </w:pPr>
      <w:r w:rsidRPr="00F40109">
        <w:t>Diagnostic tests and treatment modalities.</w:t>
      </w:r>
    </w:p>
    <w:p w14:paraId="7E356AA0" w14:textId="77777777" w:rsidR="00F40109" w:rsidRPr="00F40109" w:rsidRDefault="00F40109" w:rsidP="00F40109">
      <w:pPr>
        <w:numPr>
          <w:ilvl w:val="0"/>
          <w:numId w:val="30"/>
        </w:numPr>
      </w:pPr>
      <w:r w:rsidRPr="00F40109">
        <w:t>Referral patterns and discharge criteria.</w:t>
      </w:r>
    </w:p>
    <w:p w14:paraId="624877E8" w14:textId="77777777" w:rsidR="00F40109" w:rsidRPr="00F40109" w:rsidRDefault="00F40109" w:rsidP="00F40109">
      <w:pPr>
        <w:numPr>
          <w:ilvl w:val="0"/>
          <w:numId w:val="30"/>
        </w:numPr>
      </w:pPr>
      <w:r w:rsidRPr="00F40109">
        <w:t>Patient volume or "revenue-per-hour" quotas.</w:t>
      </w:r>
    </w:p>
    <w:p w14:paraId="112CDBD2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3.2 The Poison Pill (Exit Protection)</w:t>
      </w:r>
    </w:p>
    <w:p w14:paraId="00F9C748" w14:textId="77777777" w:rsidR="00F40109" w:rsidRPr="00F40109" w:rsidRDefault="00F40109" w:rsidP="00F40109">
      <w:r w:rsidRPr="00F40109">
        <w:t xml:space="preserve">To ensure we never become the "Corporate Giant" we are disrupting, our bylaws require a </w:t>
      </w:r>
      <w:r w:rsidRPr="00F40109">
        <w:rPr>
          <w:b/>
          <w:bCs/>
        </w:rPr>
        <w:t>100% unanimous vote</w:t>
      </w:r>
      <w:r w:rsidRPr="00F40109">
        <w:t xml:space="preserve"> from clinical members for any sale to a non-clinical entity (Private Equity or Hedge Funds).</w:t>
      </w:r>
    </w:p>
    <w:p w14:paraId="095ECD48" w14:textId="77777777" w:rsidR="00F40109" w:rsidRPr="00F40109" w:rsidRDefault="00F40109" w:rsidP="00F40109">
      <w:r w:rsidRPr="00F40109">
        <w:pict w14:anchorId="06FD65AC">
          <v:rect id="_x0000_i1120" style="width:0;height:1.5pt" o:hralign="center" o:hrstd="t" o:hr="t" fillcolor="#a0a0a0" stroked="f"/>
        </w:pict>
      </w:r>
    </w:p>
    <w:p w14:paraId="14F5F882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IV. DATA INTEGRITY: THE SOVEREIGN VAULT</w:t>
      </w:r>
    </w:p>
    <w:p w14:paraId="3B4B5ECB" w14:textId="77777777" w:rsidR="00F40109" w:rsidRPr="00F40109" w:rsidRDefault="00F40109" w:rsidP="00F40109">
      <w:r w:rsidRPr="00F40109">
        <w:t>In an era of unethical data harvesting, we treat patient data as a sacred trust, not a product.</w:t>
      </w:r>
    </w:p>
    <w:p w14:paraId="55805F7C" w14:textId="77777777" w:rsidR="00F40109" w:rsidRPr="00F40109" w:rsidRDefault="00F40109" w:rsidP="00F40109">
      <w:pPr>
        <w:numPr>
          <w:ilvl w:val="0"/>
          <w:numId w:val="31"/>
        </w:numPr>
      </w:pPr>
      <w:r w:rsidRPr="00F40109">
        <w:rPr>
          <w:b/>
          <w:bCs/>
        </w:rPr>
        <w:t>FHIR-Standard Architecture:</w:t>
      </w:r>
      <w:r w:rsidRPr="00F40109">
        <w:t xml:space="preserve"> Your data is siloed in an encrypted environment that you own.</w:t>
      </w:r>
    </w:p>
    <w:p w14:paraId="38DBF003" w14:textId="77777777" w:rsidR="00F40109" w:rsidRPr="00F40109" w:rsidRDefault="00F40109" w:rsidP="00F40109">
      <w:pPr>
        <w:numPr>
          <w:ilvl w:val="0"/>
          <w:numId w:val="31"/>
        </w:numPr>
      </w:pPr>
      <w:r w:rsidRPr="00F40109">
        <w:rPr>
          <w:b/>
          <w:bCs/>
        </w:rPr>
        <w:t>The 48-Hour Guarantee:</w:t>
      </w:r>
      <w:r w:rsidRPr="00F40109">
        <w:t xml:space="preserve"> Because we believe in clinical autonomy, our systems are built for portability. If you leave the collective, your data moves with you in a clean, interoperable format within 48 hours. No platform lock-in, ever.</w:t>
      </w:r>
    </w:p>
    <w:p w14:paraId="6893865E" w14:textId="77777777" w:rsidR="00F40109" w:rsidRPr="00F40109" w:rsidRDefault="00F40109" w:rsidP="00F40109">
      <w:r w:rsidRPr="00F40109">
        <w:pict w14:anchorId="42323261">
          <v:rect id="_x0000_i1121" style="width:0;height:1.5pt" o:hralign="center" o:hrstd="t" o:hr="t" fillcolor="#a0a0a0" stroked="f"/>
        </w:pict>
      </w:r>
    </w:p>
    <w:p w14:paraId="2C8A4657" w14:textId="77777777" w:rsidR="00F40109" w:rsidRDefault="00F40109" w:rsidP="00F40109">
      <w:pPr>
        <w:rPr>
          <w:b/>
          <w:bCs/>
        </w:rPr>
      </w:pPr>
    </w:p>
    <w:p w14:paraId="130BF8E0" w14:textId="77777777" w:rsidR="00F40109" w:rsidRDefault="00F40109" w:rsidP="00F40109">
      <w:pPr>
        <w:rPr>
          <w:b/>
          <w:bCs/>
        </w:rPr>
      </w:pPr>
    </w:p>
    <w:p w14:paraId="7E96B7D6" w14:textId="4FB94EAC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lastRenderedPageBreak/>
        <w:t>V. ECONOMIC INTEGRITY: THE 94/6 STANDARD</w:t>
      </w:r>
    </w:p>
    <w:p w14:paraId="771777F6" w14:textId="77777777" w:rsidR="00F40109" w:rsidRPr="00F40109" w:rsidRDefault="00F40109" w:rsidP="00F40109">
      <w:r w:rsidRPr="00F40109">
        <w:t>We believe the clinician should be the primary beneficiary of their own labor. We replace the "Black Box" percentage models of legacy platforms with a transparent utility fee.</w:t>
      </w:r>
    </w:p>
    <w:p w14:paraId="261209BB" w14:textId="77777777" w:rsidR="00F40109" w:rsidRPr="00001B77" w:rsidRDefault="00F40109" w:rsidP="00001B77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000"/>
        <w:gridCol w:w="2190"/>
      </w:tblGrid>
      <w:tr w:rsidR="00F40109" w:rsidRPr="00F40109" w14:paraId="6947094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9FCEE2" w14:textId="77777777" w:rsidR="00F40109" w:rsidRPr="00F40109" w:rsidRDefault="00F40109" w:rsidP="00F40109">
            <w:r w:rsidRPr="00F40109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D0681A" w14:textId="77777777" w:rsidR="00F40109" w:rsidRPr="00F40109" w:rsidRDefault="00F40109" w:rsidP="00F40109">
            <w:r w:rsidRPr="00F40109">
              <w:rPr>
                <w:b/>
                <w:bCs/>
              </w:rPr>
              <w:t>Legacy Platform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368989" w14:textId="77777777" w:rsidR="00F40109" w:rsidRPr="00F40109" w:rsidRDefault="00F40109" w:rsidP="00F40109">
            <w:r w:rsidRPr="00F40109">
              <w:rPr>
                <w:b/>
                <w:bCs/>
              </w:rPr>
              <w:t>We Are Collective</w:t>
            </w:r>
          </w:p>
        </w:tc>
      </w:tr>
      <w:tr w:rsidR="00F40109" w:rsidRPr="00F40109" w14:paraId="55CAA6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D12E8" w14:textId="77777777" w:rsidR="00F40109" w:rsidRPr="00F40109" w:rsidRDefault="00F40109" w:rsidP="00F40109">
            <w:r w:rsidRPr="00F40109">
              <w:rPr>
                <w:b/>
                <w:bCs/>
              </w:rPr>
              <w:t>Gross Payer 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0B4E1B" w14:textId="77777777" w:rsidR="00F40109" w:rsidRPr="00F40109" w:rsidRDefault="00F40109" w:rsidP="00F40109">
            <w:r w:rsidRPr="00F40109">
              <w:t>$150.00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C05D5E" w14:textId="77777777" w:rsidR="00F40109" w:rsidRPr="00F40109" w:rsidRDefault="00F40109" w:rsidP="00F40109">
            <w:r w:rsidRPr="00F40109">
              <w:rPr>
                <w:b/>
                <w:bCs/>
              </w:rPr>
              <w:t>$150.00</w:t>
            </w:r>
          </w:p>
        </w:tc>
      </w:tr>
      <w:tr w:rsidR="00F40109" w:rsidRPr="00F40109" w14:paraId="4D5788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FF2E1" w14:textId="77777777" w:rsidR="00F40109" w:rsidRPr="00F40109" w:rsidRDefault="00F40109" w:rsidP="00F40109">
            <w:r w:rsidRPr="00F40109">
              <w:rPr>
                <w:b/>
                <w:bCs/>
              </w:rPr>
              <w:t>Platform Retention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C57AFB" w14:textId="77777777" w:rsidR="00F40109" w:rsidRPr="00F40109" w:rsidRDefault="00F40109" w:rsidP="00F40109">
            <w:r w:rsidRPr="00F40109">
              <w:t>40% ($60.00)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BAF7A" w14:textId="77777777" w:rsidR="00F40109" w:rsidRPr="00F40109" w:rsidRDefault="00F40109" w:rsidP="00F40109">
            <w:r w:rsidRPr="00F40109">
              <w:rPr>
                <w:b/>
                <w:bCs/>
              </w:rPr>
              <w:t>6% ($9.00)</w:t>
            </w:r>
          </w:p>
        </w:tc>
      </w:tr>
      <w:tr w:rsidR="00F40109" w:rsidRPr="00F40109" w14:paraId="59C258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2DC3DF" w14:textId="77777777" w:rsidR="00F40109" w:rsidRPr="00F40109" w:rsidRDefault="00F40109" w:rsidP="00F40109">
            <w:r w:rsidRPr="00F40109">
              <w:rPr>
                <w:b/>
                <w:bCs/>
              </w:rPr>
              <w:t>Clinician Take-Home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C00394" w14:textId="77777777" w:rsidR="00F40109" w:rsidRPr="00F40109" w:rsidRDefault="00F40109" w:rsidP="00F40109">
            <w:r w:rsidRPr="00F40109">
              <w:t>$90.00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55F5C6" w14:textId="77777777" w:rsidR="00F40109" w:rsidRPr="00F40109" w:rsidRDefault="00F40109" w:rsidP="00F40109">
            <w:r w:rsidRPr="00F40109">
              <w:rPr>
                <w:b/>
                <w:bCs/>
              </w:rPr>
              <w:t>$141.00</w:t>
            </w:r>
          </w:p>
        </w:tc>
      </w:tr>
    </w:tbl>
    <w:p w14:paraId="4137B6DF" w14:textId="371D8340" w:rsidR="00373FDC" w:rsidRDefault="00373FDC" w:rsidP="00373FDC"/>
    <w:p w14:paraId="1E25CD8F" w14:textId="77777777" w:rsidR="00F40109" w:rsidRPr="00F40109" w:rsidRDefault="00F40109" w:rsidP="00F40109">
      <w:r w:rsidRPr="00F40109">
        <w:t xml:space="preserve">By recovering this "Integrity Gap," a full-time clinician in our ecosystem can realize an estimated </w:t>
      </w:r>
      <w:r w:rsidRPr="00F40109">
        <w:rPr>
          <w:b/>
          <w:bCs/>
        </w:rPr>
        <w:t>$61,200 increase in annual take-home pay</w:t>
      </w:r>
      <w:r w:rsidRPr="00F40109">
        <w:t xml:space="preserve"> based on a 30-session week.</w:t>
      </w:r>
    </w:p>
    <w:p w14:paraId="2B4BBBEB" w14:textId="77777777" w:rsidR="00F40109" w:rsidRPr="00F40109" w:rsidRDefault="00F40109" w:rsidP="00F40109">
      <w:r w:rsidRPr="00F40109">
        <w:pict w14:anchorId="7D7AC069">
          <v:rect id="_x0000_i1141" style="width:0;height:1.5pt" o:hralign="center" o:hrstd="t" o:hr="t" fillcolor="#a0a0a0" stroked="f"/>
        </w:pict>
      </w:r>
    </w:p>
    <w:p w14:paraId="1374FF77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VI. THE COMMUNITY PLEDGE</w:t>
      </w:r>
    </w:p>
    <w:p w14:paraId="0A792A96" w14:textId="77777777" w:rsidR="00F40109" w:rsidRPr="00F40109" w:rsidRDefault="00F40109" w:rsidP="00F40109">
      <w:r w:rsidRPr="00F40109">
        <w:t xml:space="preserve">Our integrity extends to the community we serve. </w:t>
      </w:r>
      <w:r w:rsidRPr="00F40109">
        <w:rPr>
          <w:b/>
          <w:bCs/>
        </w:rPr>
        <w:t>10% of MSO net profits</w:t>
      </w:r>
      <w:r w:rsidRPr="00F40109">
        <w:t xml:space="preserve"> are diverted to a </w:t>
      </w:r>
      <w:r w:rsidRPr="00F40109">
        <w:rPr>
          <w:b/>
          <w:bCs/>
        </w:rPr>
        <w:t>Community Access Fund</w:t>
      </w:r>
      <w:r w:rsidRPr="00F40109">
        <w:t>, providing grants for clinician-led research, advocacy, and hardship support for the providers who make this ecosystem possible.</w:t>
      </w:r>
    </w:p>
    <w:p w14:paraId="6563725D" w14:textId="77777777" w:rsidR="00F40109" w:rsidRPr="00F40109" w:rsidRDefault="00F40109" w:rsidP="00F40109">
      <w:r w:rsidRPr="00F40109">
        <w:pict w14:anchorId="6934802A">
          <v:rect id="_x0000_i1142" style="width:0;height:1.5pt" o:hralign="center" o:hrstd="t" o:hr="t" fillcolor="#a0a0a0" stroked="f"/>
        </w:pict>
      </w:r>
    </w:p>
    <w:p w14:paraId="33274AA1" w14:textId="77777777" w:rsidR="00F40109" w:rsidRPr="00F40109" w:rsidRDefault="00F40109" w:rsidP="00F40109">
      <w:pPr>
        <w:rPr>
          <w:b/>
          <w:bCs/>
        </w:rPr>
      </w:pPr>
      <w:r w:rsidRPr="00F40109">
        <w:rPr>
          <w:b/>
          <w:bCs/>
        </w:rPr>
        <w:t>VII. CONCLUSION: JOIN THE SOVEREIGNTY</w:t>
      </w:r>
    </w:p>
    <w:p w14:paraId="0566CB19" w14:textId="77777777" w:rsidR="00F40109" w:rsidRPr="00F40109" w:rsidRDefault="00F40109" w:rsidP="00F40109">
      <w:r w:rsidRPr="00F40109">
        <w:t>The era of the "Therapy Factory" is over. The future of mental health belongs to a collective that values integrity, transparency, and clinical excellence.</w:t>
      </w:r>
    </w:p>
    <w:p w14:paraId="538A31EE" w14:textId="77777777" w:rsidR="00F40109" w:rsidRPr="00F40109" w:rsidRDefault="00F40109" w:rsidP="00F40109">
      <w:r w:rsidRPr="00F40109">
        <w:rPr>
          <w:b/>
          <w:bCs/>
        </w:rPr>
        <w:t>We Are.</w:t>
      </w:r>
      <w:r w:rsidRPr="00F40109">
        <w:t xml:space="preserve"> </w:t>
      </w:r>
      <w:r w:rsidRPr="00F40109">
        <w:rPr>
          <w:i/>
          <w:iCs/>
        </w:rPr>
        <w:t>Built by Clinicians. Owned by Clinicians. Protective of Clinicians.</w:t>
      </w:r>
    </w:p>
    <w:sectPr w:rsidR="00F40109" w:rsidRPr="00F401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4D5B" w14:textId="77777777" w:rsidR="00476F1C" w:rsidRDefault="00476F1C" w:rsidP="00420F4B">
      <w:pPr>
        <w:spacing w:after="0" w:line="240" w:lineRule="auto"/>
      </w:pPr>
      <w:r>
        <w:separator/>
      </w:r>
    </w:p>
  </w:endnote>
  <w:endnote w:type="continuationSeparator" w:id="0">
    <w:p w14:paraId="55377861" w14:textId="77777777" w:rsidR="00476F1C" w:rsidRDefault="00476F1C" w:rsidP="0042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3C3A" w14:textId="77777777" w:rsidR="00897E67" w:rsidRDefault="00897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7DE0" w14:textId="77777777" w:rsidR="00476F1C" w:rsidRDefault="00476F1C" w:rsidP="00420F4B">
      <w:pPr>
        <w:spacing w:after="0" w:line="240" w:lineRule="auto"/>
      </w:pPr>
      <w:r>
        <w:separator/>
      </w:r>
    </w:p>
  </w:footnote>
  <w:footnote w:type="continuationSeparator" w:id="0">
    <w:p w14:paraId="2DBD4676" w14:textId="77777777" w:rsidR="00476F1C" w:rsidRDefault="00476F1C" w:rsidP="0042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7DC"/>
    <w:multiLevelType w:val="multilevel"/>
    <w:tmpl w:val="EC2E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064C"/>
    <w:multiLevelType w:val="multilevel"/>
    <w:tmpl w:val="6AD6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269EA"/>
    <w:multiLevelType w:val="multilevel"/>
    <w:tmpl w:val="0B9A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C44F5"/>
    <w:multiLevelType w:val="multilevel"/>
    <w:tmpl w:val="669C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22EB"/>
    <w:multiLevelType w:val="multilevel"/>
    <w:tmpl w:val="83C6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80F1F"/>
    <w:multiLevelType w:val="multilevel"/>
    <w:tmpl w:val="AEB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958FA"/>
    <w:multiLevelType w:val="multilevel"/>
    <w:tmpl w:val="8354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73D3F"/>
    <w:multiLevelType w:val="multilevel"/>
    <w:tmpl w:val="A588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D3997"/>
    <w:multiLevelType w:val="multilevel"/>
    <w:tmpl w:val="1B74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822F1"/>
    <w:multiLevelType w:val="multilevel"/>
    <w:tmpl w:val="4924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40621"/>
    <w:multiLevelType w:val="multilevel"/>
    <w:tmpl w:val="9730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7A1BD5"/>
    <w:multiLevelType w:val="multilevel"/>
    <w:tmpl w:val="076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84886"/>
    <w:multiLevelType w:val="multilevel"/>
    <w:tmpl w:val="275A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001DC"/>
    <w:multiLevelType w:val="multilevel"/>
    <w:tmpl w:val="1C8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56AD4"/>
    <w:multiLevelType w:val="multilevel"/>
    <w:tmpl w:val="3D96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D2E2E"/>
    <w:multiLevelType w:val="hybridMultilevel"/>
    <w:tmpl w:val="5E02F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83081"/>
    <w:multiLevelType w:val="multilevel"/>
    <w:tmpl w:val="EACC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5774C"/>
    <w:multiLevelType w:val="multilevel"/>
    <w:tmpl w:val="D0F2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20EB2"/>
    <w:multiLevelType w:val="multilevel"/>
    <w:tmpl w:val="F98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E81574"/>
    <w:multiLevelType w:val="multilevel"/>
    <w:tmpl w:val="6982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87D91"/>
    <w:multiLevelType w:val="multilevel"/>
    <w:tmpl w:val="14F6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6788"/>
    <w:multiLevelType w:val="multilevel"/>
    <w:tmpl w:val="536C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823A9B"/>
    <w:multiLevelType w:val="multilevel"/>
    <w:tmpl w:val="1BDE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46D8A"/>
    <w:multiLevelType w:val="multilevel"/>
    <w:tmpl w:val="3EB8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296EBB"/>
    <w:multiLevelType w:val="multilevel"/>
    <w:tmpl w:val="8418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D4163"/>
    <w:multiLevelType w:val="multilevel"/>
    <w:tmpl w:val="7C42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082736"/>
    <w:multiLevelType w:val="multilevel"/>
    <w:tmpl w:val="EE7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AE518F"/>
    <w:multiLevelType w:val="multilevel"/>
    <w:tmpl w:val="2CA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663FA"/>
    <w:multiLevelType w:val="multilevel"/>
    <w:tmpl w:val="5D66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37507A"/>
    <w:multiLevelType w:val="multilevel"/>
    <w:tmpl w:val="433E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2F1835"/>
    <w:multiLevelType w:val="multilevel"/>
    <w:tmpl w:val="AD1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433842">
    <w:abstractNumId w:val="19"/>
  </w:num>
  <w:num w:numId="2" w16cid:durableId="1653607493">
    <w:abstractNumId w:val="11"/>
  </w:num>
  <w:num w:numId="3" w16cid:durableId="216089094">
    <w:abstractNumId w:val="28"/>
  </w:num>
  <w:num w:numId="4" w16cid:durableId="962347592">
    <w:abstractNumId w:val="5"/>
  </w:num>
  <w:num w:numId="5" w16cid:durableId="621037964">
    <w:abstractNumId w:val="30"/>
  </w:num>
  <w:num w:numId="6" w16cid:durableId="331757392">
    <w:abstractNumId w:val="22"/>
  </w:num>
  <w:num w:numId="7" w16cid:durableId="542526227">
    <w:abstractNumId w:val="9"/>
  </w:num>
  <w:num w:numId="8" w16cid:durableId="647199841">
    <w:abstractNumId w:val="26"/>
  </w:num>
  <w:num w:numId="9" w16cid:durableId="1693455508">
    <w:abstractNumId w:val="29"/>
  </w:num>
  <w:num w:numId="10" w16cid:durableId="1857688801">
    <w:abstractNumId w:val="10"/>
  </w:num>
  <w:num w:numId="11" w16cid:durableId="1020660672">
    <w:abstractNumId w:val="1"/>
  </w:num>
  <w:num w:numId="12" w16cid:durableId="2072073392">
    <w:abstractNumId w:val="27"/>
  </w:num>
  <w:num w:numId="13" w16cid:durableId="523982914">
    <w:abstractNumId w:val="7"/>
  </w:num>
  <w:num w:numId="14" w16cid:durableId="1297299300">
    <w:abstractNumId w:val="6"/>
  </w:num>
  <w:num w:numId="15" w16cid:durableId="1308902130">
    <w:abstractNumId w:val="12"/>
  </w:num>
  <w:num w:numId="16" w16cid:durableId="1420756105">
    <w:abstractNumId w:val="24"/>
  </w:num>
  <w:num w:numId="17" w16cid:durableId="1149593370">
    <w:abstractNumId w:val="15"/>
  </w:num>
  <w:num w:numId="18" w16cid:durableId="2145586056">
    <w:abstractNumId w:val="25"/>
  </w:num>
  <w:num w:numId="19" w16cid:durableId="361789848">
    <w:abstractNumId w:val="13"/>
  </w:num>
  <w:num w:numId="20" w16cid:durableId="545028352">
    <w:abstractNumId w:val="18"/>
  </w:num>
  <w:num w:numId="21" w16cid:durableId="846987304">
    <w:abstractNumId w:val="2"/>
  </w:num>
  <w:num w:numId="22" w16cid:durableId="2088263212">
    <w:abstractNumId w:val="16"/>
  </w:num>
  <w:num w:numId="23" w16cid:durableId="707030978">
    <w:abstractNumId w:val="0"/>
  </w:num>
  <w:num w:numId="24" w16cid:durableId="265115678">
    <w:abstractNumId w:val="17"/>
  </w:num>
  <w:num w:numId="25" w16cid:durableId="672880963">
    <w:abstractNumId w:val="20"/>
  </w:num>
  <w:num w:numId="26" w16cid:durableId="544461">
    <w:abstractNumId w:val="14"/>
  </w:num>
  <w:num w:numId="27" w16cid:durableId="408161887">
    <w:abstractNumId w:val="23"/>
  </w:num>
  <w:num w:numId="28" w16cid:durableId="280186101">
    <w:abstractNumId w:val="3"/>
  </w:num>
  <w:num w:numId="29" w16cid:durableId="206721453">
    <w:abstractNumId w:val="8"/>
  </w:num>
  <w:num w:numId="30" w16cid:durableId="213931956">
    <w:abstractNumId w:val="4"/>
  </w:num>
  <w:num w:numId="31" w16cid:durableId="631443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6f5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DE"/>
    <w:rsid w:val="00001B77"/>
    <w:rsid w:val="00006DB7"/>
    <w:rsid w:val="00036D22"/>
    <w:rsid w:val="000C47E4"/>
    <w:rsid w:val="00120C65"/>
    <w:rsid w:val="001505AC"/>
    <w:rsid w:val="0018765F"/>
    <w:rsid w:val="00193D1C"/>
    <w:rsid w:val="001A5351"/>
    <w:rsid w:val="001C54B3"/>
    <w:rsid w:val="001D108E"/>
    <w:rsid w:val="002116DE"/>
    <w:rsid w:val="0023770F"/>
    <w:rsid w:val="002432C0"/>
    <w:rsid w:val="00246B8F"/>
    <w:rsid w:val="00260E68"/>
    <w:rsid w:val="00270368"/>
    <w:rsid w:val="00282C32"/>
    <w:rsid w:val="00290431"/>
    <w:rsid w:val="00300913"/>
    <w:rsid w:val="003037D5"/>
    <w:rsid w:val="00335DEC"/>
    <w:rsid w:val="00373688"/>
    <w:rsid w:val="00373FDC"/>
    <w:rsid w:val="003A6B4C"/>
    <w:rsid w:val="003B4D90"/>
    <w:rsid w:val="00403A4D"/>
    <w:rsid w:val="00413FBE"/>
    <w:rsid w:val="00420E7D"/>
    <w:rsid w:val="00420F4B"/>
    <w:rsid w:val="00441B07"/>
    <w:rsid w:val="00476F1C"/>
    <w:rsid w:val="004E2408"/>
    <w:rsid w:val="004F7657"/>
    <w:rsid w:val="0051105C"/>
    <w:rsid w:val="00537A20"/>
    <w:rsid w:val="005709DF"/>
    <w:rsid w:val="00570C37"/>
    <w:rsid w:val="005979ED"/>
    <w:rsid w:val="005A6799"/>
    <w:rsid w:val="005C1D45"/>
    <w:rsid w:val="00600A1A"/>
    <w:rsid w:val="00601A09"/>
    <w:rsid w:val="006038D8"/>
    <w:rsid w:val="00617A5A"/>
    <w:rsid w:val="0063335E"/>
    <w:rsid w:val="00634237"/>
    <w:rsid w:val="00654229"/>
    <w:rsid w:val="006915AE"/>
    <w:rsid w:val="006A7CF9"/>
    <w:rsid w:val="006E074E"/>
    <w:rsid w:val="006E2AF5"/>
    <w:rsid w:val="006E2F8E"/>
    <w:rsid w:val="006F549E"/>
    <w:rsid w:val="0070180F"/>
    <w:rsid w:val="00710EBF"/>
    <w:rsid w:val="00720FC4"/>
    <w:rsid w:val="00767F23"/>
    <w:rsid w:val="007754EB"/>
    <w:rsid w:val="0077602C"/>
    <w:rsid w:val="007A6DF3"/>
    <w:rsid w:val="007B1176"/>
    <w:rsid w:val="007C4D3C"/>
    <w:rsid w:val="007E33BB"/>
    <w:rsid w:val="007F179A"/>
    <w:rsid w:val="007F4F20"/>
    <w:rsid w:val="0081794C"/>
    <w:rsid w:val="00826448"/>
    <w:rsid w:val="00831148"/>
    <w:rsid w:val="008716F4"/>
    <w:rsid w:val="00890CAF"/>
    <w:rsid w:val="00897E67"/>
    <w:rsid w:val="008A03C3"/>
    <w:rsid w:val="008B3663"/>
    <w:rsid w:val="008C264B"/>
    <w:rsid w:val="008E1DC4"/>
    <w:rsid w:val="00923AC2"/>
    <w:rsid w:val="009317BE"/>
    <w:rsid w:val="009325F9"/>
    <w:rsid w:val="00940BD7"/>
    <w:rsid w:val="00981A50"/>
    <w:rsid w:val="00994CF9"/>
    <w:rsid w:val="009B3550"/>
    <w:rsid w:val="00A04A9A"/>
    <w:rsid w:val="00A74AF4"/>
    <w:rsid w:val="00A76D79"/>
    <w:rsid w:val="00A94AE8"/>
    <w:rsid w:val="00A96F88"/>
    <w:rsid w:val="00AB3CF1"/>
    <w:rsid w:val="00AB72F3"/>
    <w:rsid w:val="00AC7E27"/>
    <w:rsid w:val="00AF6A2C"/>
    <w:rsid w:val="00B55C88"/>
    <w:rsid w:val="00B60150"/>
    <w:rsid w:val="00B74060"/>
    <w:rsid w:val="00B92193"/>
    <w:rsid w:val="00BB7483"/>
    <w:rsid w:val="00BE007B"/>
    <w:rsid w:val="00C04FE4"/>
    <w:rsid w:val="00C12A77"/>
    <w:rsid w:val="00C26662"/>
    <w:rsid w:val="00C403E9"/>
    <w:rsid w:val="00C4339C"/>
    <w:rsid w:val="00CE5D2A"/>
    <w:rsid w:val="00CF19CF"/>
    <w:rsid w:val="00D255DB"/>
    <w:rsid w:val="00D50138"/>
    <w:rsid w:val="00D606A0"/>
    <w:rsid w:val="00D670C4"/>
    <w:rsid w:val="00E16347"/>
    <w:rsid w:val="00E65F39"/>
    <w:rsid w:val="00E84C9B"/>
    <w:rsid w:val="00F0792A"/>
    <w:rsid w:val="00F128DA"/>
    <w:rsid w:val="00F1785C"/>
    <w:rsid w:val="00F40109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5d7"/>
    </o:shapedefaults>
    <o:shapelayout v:ext="edit">
      <o:idmap v:ext="edit" data="2"/>
    </o:shapelayout>
  </w:shapeDefaults>
  <w:decimalSymbol w:val="."/>
  <w:listSeparator w:val=","/>
  <w14:docId w14:val="3E057F42"/>
  <w15:chartTrackingRefBased/>
  <w15:docId w15:val="{B3E550A5-8DFE-441D-A0A2-B392782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1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F4B"/>
  </w:style>
  <w:style w:type="paragraph" w:styleId="Footer">
    <w:name w:val="footer"/>
    <w:basedOn w:val="Normal"/>
    <w:link w:val="FooterChar"/>
    <w:uiPriority w:val="99"/>
    <w:unhideWhenUsed/>
    <w:rsid w:val="0042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Confidential &amp; Proprietary – Property of Rebecca Thipsingh – © 2026 We Are Project</dc:creator>
  <cp:keywords/>
  <dc:description/>
  <cp:lastModifiedBy>Rebecca Thipsingh</cp:lastModifiedBy>
  <cp:revision>2</cp:revision>
  <cp:lastPrinted>2026-02-05T01:44:00Z</cp:lastPrinted>
  <dcterms:created xsi:type="dcterms:W3CDTF">2026-02-18T23:41:00Z</dcterms:created>
  <dcterms:modified xsi:type="dcterms:W3CDTF">2026-02-18T23:41:00Z</dcterms:modified>
</cp:coreProperties>
</file>